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EB8A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3B43B0F5" wp14:editId="2EE8780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8EE2A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515A3CA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A3950C1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3DBC3D2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eastAsia="ru-RU"/>
        </w:rPr>
        <w:t>29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0F4229C" w14:textId="77777777" w:rsidR="00762595" w:rsidRPr="00A03FC3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70E093E9" w14:textId="77777777" w:rsidR="00762595" w:rsidRPr="00A03FC3" w:rsidRDefault="00762595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16 </w:t>
      </w:r>
      <w:proofErr w:type="spellStart"/>
      <w:r>
        <w:rPr>
          <w:rFonts w:ascii="Century" w:eastAsia="Calibri" w:hAnsi="Century"/>
          <w:sz w:val="28"/>
          <w:szCs w:val="28"/>
          <w:lang w:eastAsia="ru-RU"/>
        </w:rPr>
        <w:t>березня</w:t>
      </w:r>
      <w:proofErr w:type="spellEnd"/>
      <w:r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14:paraId="7297384B" w14:textId="77777777" w:rsidR="00762595" w:rsidRPr="00A03FC3" w:rsidRDefault="00762595" w:rsidP="00762595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E578FC1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6E68B67C" w14:textId="38AF5926" w:rsidR="00762595" w:rsidRPr="002710C3" w:rsidRDefault="00DE0E64" w:rsidP="00FD5624">
      <w:pPr>
        <w:spacing w:after="0" w:line="240" w:lineRule="auto"/>
        <w:ind w:right="5102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працівників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 xml:space="preserve">служби </w:t>
      </w:r>
      <w:proofErr w:type="gramStart"/>
      <w:r w:rsidR="00762595">
        <w:rPr>
          <w:rFonts w:ascii="Century" w:hAnsi="Century"/>
          <w:b/>
          <w:sz w:val="28"/>
          <w:szCs w:val="28"/>
          <w:lang w:val="uk-UA" w:eastAsia="uk-UA"/>
        </w:rPr>
        <w:t>у справах</w:t>
      </w:r>
      <w:proofErr w:type="gramEnd"/>
      <w:r w:rsidR="00762595">
        <w:rPr>
          <w:rFonts w:ascii="Century" w:hAnsi="Century"/>
          <w:b/>
          <w:sz w:val="28"/>
          <w:szCs w:val="28"/>
          <w:lang w:val="uk-UA" w:eastAsia="uk-UA"/>
        </w:rPr>
        <w:t xml:space="preserve"> дітей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  <w:r w:rsidR="00FD5624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422D92BB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6962E81F" w14:textId="77777777"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61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ст. 15, 21 Закону України «Про службу в органах місцевого самоврядування», Закону України «Про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126FE573" w14:textId="77777777" w:rsidR="00DE0E64" w:rsidRPr="006224D9" w:rsidRDefault="003D1EB9" w:rsidP="0079068E">
      <w:pPr>
        <w:spacing w:line="240" w:lineRule="auto"/>
        <w:ind w:firstLine="54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69C22DBD" w14:textId="77777777" w:rsidR="00DE0E64" w:rsidRPr="006224D9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Львівської області згідно додатку 1.</w:t>
      </w: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(додається).</w:t>
      </w:r>
    </w:p>
    <w:p w14:paraId="59619801" w14:textId="77777777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з питань бюджету, соціально-економічного розвитку, комунального майна і приватизації. </w:t>
      </w:r>
    </w:p>
    <w:p w14:paraId="1011513B" w14:textId="77777777" w:rsidR="00724857" w:rsidRPr="00724857" w:rsidRDefault="00724857" w:rsidP="00724857">
      <w:pPr>
        <w:rPr>
          <w:lang w:val="uk-UA" w:eastAsia="uk-UA"/>
        </w:rPr>
      </w:pPr>
    </w:p>
    <w:p w14:paraId="0366095F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7C82392E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AD89857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2591A8B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F5C37A3" w14:textId="77777777"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Додаток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1</w:t>
      </w:r>
    </w:p>
    <w:p w14:paraId="4FCF4CB1" w14:textId="77777777"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5EBE1264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3CD47C57" w14:textId="77777777"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ПРАЦІВНИКІВ </w:t>
      </w:r>
    </w:p>
    <w:p w14:paraId="3EB2F2AB" w14:textId="77777777" w:rsidR="00BF3EA2" w:rsidRDefault="00762595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СЛУЖБИ У СПРАВАХ ДІТЕЙ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14:paraId="72145486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0FB80AF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статей 15,21 Закону України «Про службу в органах місцевого самоврядування», ст. 26, 61 Закону України «Про місцеве самоврядування в Україні», Закону України « 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1B84718C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4304D5A3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B849686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188F5106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14:paraId="4D240B7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7AD8246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50FA47C8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окремих випадках за виконання особливо важливої роботи або з нагоди ювілейних та святкових дат з урахуванням особистого внеску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 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ї ради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може бути виплачена одноразова премія.</w:t>
      </w:r>
    </w:p>
    <w:p w14:paraId="2CA0A9EF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 за виконання важливих додаткових завдань, з нагоди державних і професійних свят, працівникам може бути виплачена одноразова премія в кожному конкретному випадку за розпорядженням міського голови в межах затвердженого фонду оплати праці.</w:t>
      </w:r>
    </w:p>
    <w:p w14:paraId="2AA40D58" w14:textId="77777777" w:rsid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До державних святкових свят відносяться визначені ст.. 73 КЗпП України: Новий рік, Різдво Христове, Міжнародний жіночий день, День праці, День перемоги, День Конституції України, День Української Державності, День незалежності України, День захисників і захисниць України, Пасха, Трійця, а також інші державні, професійні та місцеві свята, серед яких: День Соборності України, День заснування міста Городка, День місцевого самоврядування.</w:t>
      </w:r>
    </w:p>
    <w:p w14:paraId="72A0A270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78488BE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527EA3C9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5F5E29CA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затверджується при затвердженні бюджету Городоцької територіальної громади та на підставі рішення про упорядкування умов оплати праці працівників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на поточний рік.</w:t>
      </w:r>
    </w:p>
    <w:p w14:paraId="3A760712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CFA0B77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7F96AA78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та встановлення їм надбавок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обов’язків та начальника служби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5216C06B" w14:textId="77777777" w:rsidR="00BF3EA2" w:rsidRP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нараховується щомісячно у відсотках до посадового окладу.</w:t>
      </w:r>
    </w:p>
    <w:p w14:paraId="4DE0A86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3EA967F6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04061B7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79586890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4FB04F54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14:paraId="39E01C76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65B0B7A0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затвердженого індивідуального плану роботи;</w:t>
      </w:r>
    </w:p>
    <w:p w14:paraId="4781706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4BC131B9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4D9D630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29ED78D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16425DED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0B1A03F3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0016334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6EB9245E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FB52F99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4EFD506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служби у справах дітей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2FCC3C38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492EFFB1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4.6.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керуючого справами виконавчого комітету міської ради.</w:t>
      </w:r>
    </w:p>
    <w:p w14:paraId="2B1410DA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4.7.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3BD75615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4.9. Максимальна межа премії для кожного працівника не встановлюється.</w:t>
      </w:r>
    </w:p>
    <w:p w14:paraId="4F0E4A21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3EC068" w14:textId="77777777" w:rsidR="00BF3EA2" w:rsidRPr="00BF3EA2" w:rsidRDefault="00BF3EA2" w:rsidP="00BF3EA2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Заключні положення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6C684F9D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5.1. Преміювання працівників 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ради, надання їм матеріальної допомоги, встановлення надбавок та доплат здійснюється розпорядженням міського голови у межах затвердженого фонду оплати праці.</w:t>
      </w:r>
    </w:p>
    <w:p w14:paraId="78C3215C" w14:textId="77777777" w:rsidR="002C2ACB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0E3B2D7" w14:textId="77777777" w:rsidR="002C2ACB" w:rsidRPr="005F3973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5F3973"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         М. Лупій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</w:t>
      </w:r>
    </w:p>
    <w:p w14:paraId="6A50DC03" w14:textId="77777777"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3B154D4F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2048985505">
    <w:abstractNumId w:val="2"/>
  </w:num>
  <w:num w:numId="2" w16cid:durableId="545946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813296">
    <w:abstractNumId w:val="6"/>
  </w:num>
  <w:num w:numId="4" w16cid:durableId="701781330">
    <w:abstractNumId w:val="11"/>
  </w:num>
  <w:num w:numId="5" w16cid:durableId="1795825043">
    <w:abstractNumId w:val="3"/>
  </w:num>
  <w:num w:numId="6" w16cid:durableId="2092458205">
    <w:abstractNumId w:val="1"/>
  </w:num>
  <w:num w:numId="7" w16cid:durableId="248197375">
    <w:abstractNumId w:val="8"/>
  </w:num>
  <w:num w:numId="8" w16cid:durableId="1020666990">
    <w:abstractNumId w:val="9"/>
  </w:num>
  <w:num w:numId="9" w16cid:durableId="147790694">
    <w:abstractNumId w:val="0"/>
  </w:num>
  <w:num w:numId="10" w16cid:durableId="1765565452">
    <w:abstractNumId w:val="4"/>
  </w:num>
  <w:num w:numId="11" w16cid:durableId="1551184137">
    <w:abstractNumId w:val="5"/>
  </w:num>
  <w:num w:numId="12" w16cid:durableId="7618772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1028"/>
    <w:rsid w:val="00004E22"/>
    <w:rsid w:val="001A083A"/>
    <w:rsid w:val="001B46B8"/>
    <w:rsid w:val="00232419"/>
    <w:rsid w:val="002710C3"/>
    <w:rsid w:val="002C2ACB"/>
    <w:rsid w:val="003B5533"/>
    <w:rsid w:val="003D1EB9"/>
    <w:rsid w:val="003F157C"/>
    <w:rsid w:val="004204AE"/>
    <w:rsid w:val="00483905"/>
    <w:rsid w:val="0050626A"/>
    <w:rsid w:val="00533340"/>
    <w:rsid w:val="005F1784"/>
    <w:rsid w:val="005F3973"/>
    <w:rsid w:val="006224D9"/>
    <w:rsid w:val="00724857"/>
    <w:rsid w:val="00762595"/>
    <w:rsid w:val="0079068E"/>
    <w:rsid w:val="00820632"/>
    <w:rsid w:val="008900D1"/>
    <w:rsid w:val="00912D53"/>
    <w:rsid w:val="00913528"/>
    <w:rsid w:val="009E6B81"/>
    <w:rsid w:val="00AC4AD6"/>
    <w:rsid w:val="00B042ED"/>
    <w:rsid w:val="00B20AA8"/>
    <w:rsid w:val="00BE52DA"/>
    <w:rsid w:val="00BF3EA2"/>
    <w:rsid w:val="00CE1BBF"/>
    <w:rsid w:val="00CF03CF"/>
    <w:rsid w:val="00D44455"/>
    <w:rsid w:val="00DA7C20"/>
    <w:rsid w:val="00DB57F0"/>
    <w:rsid w:val="00DE0E64"/>
    <w:rsid w:val="00E673B6"/>
    <w:rsid w:val="00FA4DA0"/>
    <w:rsid w:val="00FB76F7"/>
    <w:rsid w:val="00F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5F5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4554</Words>
  <Characters>2597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dcterms:created xsi:type="dcterms:W3CDTF">2023-03-03T13:06:00Z</dcterms:created>
  <dcterms:modified xsi:type="dcterms:W3CDTF">2023-03-06T09:30:00Z</dcterms:modified>
</cp:coreProperties>
</file>